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502" w:rsidRDefault="005F259D" w:rsidP="005F259D">
      <w:pPr>
        <w:spacing w:after="0"/>
        <w:jc w:val="center"/>
        <w:rPr>
          <w:rFonts w:ascii="Arial" w:hAnsi="Arial" w:cs="Arial"/>
          <w:b/>
          <w:sz w:val="24"/>
          <w:szCs w:val="24"/>
        </w:rPr>
      </w:pPr>
      <w:r>
        <w:rPr>
          <w:rFonts w:ascii="Arial" w:hAnsi="Arial" w:cs="Arial"/>
          <w:b/>
          <w:sz w:val="24"/>
          <w:szCs w:val="24"/>
        </w:rPr>
        <w:t>Composing Clincher/Transition Sentences</w:t>
      </w:r>
    </w:p>
    <w:p w:rsidR="005F259D" w:rsidRDefault="005F259D" w:rsidP="005F259D">
      <w:pPr>
        <w:spacing w:after="0"/>
        <w:jc w:val="center"/>
        <w:rPr>
          <w:rFonts w:ascii="Arial" w:hAnsi="Arial" w:cs="Arial"/>
          <w:b/>
          <w:sz w:val="24"/>
          <w:szCs w:val="24"/>
        </w:rPr>
      </w:pPr>
    </w:p>
    <w:p w:rsidR="005F259D" w:rsidRDefault="005F259D" w:rsidP="005F259D">
      <w:pPr>
        <w:spacing w:after="0"/>
        <w:rPr>
          <w:rFonts w:ascii="Arial" w:hAnsi="Arial" w:cs="Arial"/>
          <w:sz w:val="24"/>
          <w:szCs w:val="24"/>
        </w:rPr>
      </w:pPr>
      <w:r>
        <w:rPr>
          <w:rFonts w:ascii="Arial" w:hAnsi="Arial" w:cs="Arial"/>
          <w:b/>
          <w:sz w:val="24"/>
          <w:szCs w:val="24"/>
        </w:rPr>
        <w:t>Directions:</w:t>
      </w:r>
      <w:r>
        <w:rPr>
          <w:rFonts w:ascii="Arial" w:hAnsi="Arial" w:cs="Arial"/>
          <w:sz w:val="24"/>
          <w:szCs w:val="24"/>
        </w:rPr>
        <w:t xml:space="preserve"> Read the two body paragraphs. Compose a clincher/transitional sentence based on the different possible patterns provided in the chart. Write your clincher/transitions on </w:t>
      </w:r>
      <w:r w:rsidR="00375107">
        <w:rPr>
          <w:rFonts w:ascii="Arial" w:hAnsi="Arial" w:cs="Arial"/>
          <w:sz w:val="24"/>
          <w:szCs w:val="24"/>
        </w:rPr>
        <w:t>a clean sheet of notebook paper to follow these notes in the writing section of the interactive notebook.</w:t>
      </w:r>
    </w:p>
    <w:p w:rsidR="005F259D" w:rsidRDefault="005F259D" w:rsidP="005F259D">
      <w:pPr>
        <w:spacing w:after="0"/>
        <w:rPr>
          <w:rFonts w:ascii="Arial" w:hAnsi="Arial" w:cs="Arial"/>
          <w:sz w:val="24"/>
          <w:szCs w:val="24"/>
        </w:rPr>
      </w:pPr>
    </w:p>
    <w:tbl>
      <w:tblPr>
        <w:tblStyle w:val="TableGrid"/>
        <w:tblW w:w="0" w:type="auto"/>
        <w:jc w:val="center"/>
        <w:tblLook w:val="04A0" w:firstRow="1" w:lastRow="0" w:firstColumn="1" w:lastColumn="0" w:noHBand="0" w:noVBand="1"/>
      </w:tblPr>
      <w:tblGrid>
        <w:gridCol w:w="2842"/>
        <w:gridCol w:w="2915"/>
        <w:gridCol w:w="2842"/>
        <w:gridCol w:w="2417"/>
      </w:tblGrid>
      <w:tr w:rsidR="003530FC" w:rsidTr="003530FC">
        <w:trPr>
          <w:jc w:val="center"/>
        </w:trPr>
        <w:tc>
          <w:tcPr>
            <w:tcW w:w="2842" w:type="dxa"/>
            <w:shd w:val="clear" w:color="auto" w:fill="DDD9C3" w:themeFill="background2" w:themeFillShade="E6"/>
          </w:tcPr>
          <w:p w:rsidR="003530FC" w:rsidRPr="005F259D" w:rsidRDefault="003530FC" w:rsidP="005F259D">
            <w:pPr>
              <w:jc w:val="center"/>
              <w:rPr>
                <w:rFonts w:ascii="Arial" w:hAnsi="Arial" w:cs="Arial"/>
                <w:b/>
                <w:sz w:val="24"/>
                <w:szCs w:val="24"/>
              </w:rPr>
            </w:pPr>
            <w:r>
              <w:rPr>
                <w:rFonts w:ascii="Arial" w:hAnsi="Arial" w:cs="Arial"/>
                <w:b/>
                <w:sz w:val="24"/>
                <w:szCs w:val="24"/>
              </w:rPr>
              <w:t>Sum up the topic of the current paragraph</w:t>
            </w:r>
          </w:p>
        </w:tc>
        <w:tc>
          <w:tcPr>
            <w:tcW w:w="2915" w:type="dxa"/>
            <w:shd w:val="clear" w:color="auto" w:fill="DDD9C3" w:themeFill="background2" w:themeFillShade="E6"/>
          </w:tcPr>
          <w:p w:rsidR="003530FC" w:rsidRPr="005F259D" w:rsidRDefault="003530FC" w:rsidP="005F259D">
            <w:pPr>
              <w:jc w:val="center"/>
              <w:rPr>
                <w:rFonts w:ascii="Arial" w:hAnsi="Arial" w:cs="Arial"/>
                <w:b/>
                <w:sz w:val="24"/>
                <w:szCs w:val="24"/>
              </w:rPr>
            </w:pPr>
            <w:r>
              <w:rPr>
                <w:rFonts w:ascii="Arial" w:hAnsi="Arial" w:cs="Arial"/>
                <w:b/>
                <w:sz w:val="24"/>
                <w:szCs w:val="24"/>
              </w:rPr>
              <w:t>Transitional word, phrase, and/or punctuation</w:t>
            </w:r>
          </w:p>
        </w:tc>
        <w:tc>
          <w:tcPr>
            <w:tcW w:w="2842" w:type="dxa"/>
            <w:shd w:val="clear" w:color="auto" w:fill="DDD9C3" w:themeFill="background2" w:themeFillShade="E6"/>
          </w:tcPr>
          <w:p w:rsidR="003530FC" w:rsidRPr="005F259D" w:rsidRDefault="003530FC" w:rsidP="005F259D">
            <w:pPr>
              <w:jc w:val="center"/>
              <w:rPr>
                <w:rFonts w:ascii="Arial" w:hAnsi="Arial" w:cs="Arial"/>
                <w:b/>
                <w:sz w:val="24"/>
                <w:szCs w:val="24"/>
              </w:rPr>
            </w:pPr>
            <w:r>
              <w:rPr>
                <w:rFonts w:ascii="Arial" w:hAnsi="Arial" w:cs="Arial"/>
                <w:b/>
                <w:sz w:val="24"/>
                <w:szCs w:val="24"/>
              </w:rPr>
              <w:t>Lead into the topic the next paragraph</w:t>
            </w:r>
          </w:p>
        </w:tc>
        <w:tc>
          <w:tcPr>
            <w:tcW w:w="2417" w:type="dxa"/>
            <w:shd w:val="clear" w:color="auto" w:fill="DDD9C3" w:themeFill="background2" w:themeFillShade="E6"/>
          </w:tcPr>
          <w:p w:rsidR="003530FC" w:rsidRDefault="003530FC" w:rsidP="005F259D">
            <w:pPr>
              <w:jc w:val="center"/>
              <w:rPr>
                <w:rFonts w:ascii="Arial" w:hAnsi="Arial" w:cs="Arial"/>
                <w:b/>
                <w:sz w:val="24"/>
                <w:szCs w:val="24"/>
              </w:rPr>
            </w:pPr>
            <w:r>
              <w:rPr>
                <w:rFonts w:ascii="Arial" w:hAnsi="Arial" w:cs="Arial"/>
                <w:b/>
                <w:sz w:val="24"/>
                <w:szCs w:val="24"/>
              </w:rPr>
              <w:t>Example of clincher/transition sentence</w:t>
            </w:r>
          </w:p>
        </w:tc>
      </w:tr>
      <w:tr w:rsidR="003530FC" w:rsidTr="003530FC">
        <w:trPr>
          <w:jc w:val="center"/>
        </w:trPr>
        <w:tc>
          <w:tcPr>
            <w:tcW w:w="2842" w:type="dxa"/>
          </w:tcPr>
          <w:p w:rsidR="003530FC" w:rsidRPr="003530FC" w:rsidRDefault="003530FC" w:rsidP="003530FC">
            <w:pPr>
              <w:jc w:val="center"/>
              <w:rPr>
                <w:rFonts w:ascii="Arial" w:hAnsi="Arial" w:cs="Arial"/>
                <w:sz w:val="20"/>
                <w:szCs w:val="20"/>
              </w:rPr>
            </w:pPr>
            <w:r w:rsidRPr="003530FC">
              <w:rPr>
                <w:rFonts w:ascii="Arial" w:hAnsi="Arial" w:cs="Arial"/>
                <w:sz w:val="20"/>
                <w:szCs w:val="20"/>
              </w:rPr>
              <w:t>Complete sentence</w:t>
            </w:r>
          </w:p>
        </w:tc>
        <w:tc>
          <w:tcPr>
            <w:tcW w:w="2915" w:type="dxa"/>
          </w:tcPr>
          <w:p w:rsidR="003530FC" w:rsidRPr="003530FC" w:rsidRDefault="003530FC" w:rsidP="003530FC">
            <w:pPr>
              <w:jc w:val="center"/>
              <w:rPr>
                <w:rFonts w:ascii="Arial" w:hAnsi="Arial" w:cs="Arial"/>
                <w:sz w:val="20"/>
                <w:szCs w:val="20"/>
              </w:rPr>
            </w:pPr>
            <w:r w:rsidRPr="003530FC">
              <w:rPr>
                <w:rFonts w:ascii="Arial" w:hAnsi="Arial" w:cs="Arial"/>
                <w:sz w:val="20"/>
                <w:szCs w:val="20"/>
              </w:rPr>
              <w:t>Semicolon</w:t>
            </w:r>
          </w:p>
        </w:tc>
        <w:tc>
          <w:tcPr>
            <w:tcW w:w="2842" w:type="dxa"/>
          </w:tcPr>
          <w:p w:rsidR="003530FC" w:rsidRPr="003530FC" w:rsidRDefault="003530FC" w:rsidP="003530FC">
            <w:pPr>
              <w:jc w:val="center"/>
              <w:rPr>
                <w:rFonts w:ascii="Arial" w:hAnsi="Arial" w:cs="Arial"/>
                <w:sz w:val="20"/>
                <w:szCs w:val="20"/>
              </w:rPr>
            </w:pPr>
            <w:r w:rsidRPr="003530FC">
              <w:rPr>
                <w:rFonts w:ascii="Arial" w:hAnsi="Arial" w:cs="Arial"/>
                <w:sz w:val="20"/>
                <w:szCs w:val="20"/>
              </w:rPr>
              <w:t>Complete sentence</w:t>
            </w:r>
          </w:p>
        </w:tc>
        <w:tc>
          <w:tcPr>
            <w:tcW w:w="2417" w:type="dxa"/>
          </w:tcPr>
          <w:p w:rsidR="003530FC" w:rsidRPr="003530FC" w:rsidRDefault="003530FC" w:rsidP="003530FC">
            <w:pPr>
              <w:jc w:val="center"/>
              <w:rPr>
                <w:rFonts w:ascii="Arial" w:hAnsi="Arial" w:cs="Arial"/>
                <w:sz w:val="20"/>
                <w:szCs w:val="20"/>
              </w:rPr>
            </w:pPr>
            <w:r w:rsidRPr="003530FC">
              <w:rPr>
                <w:rFonts w:ascii="Arial" w:hAnsi="Arial" w:cs="Arial"/>
                <w:sz w:val="20"/>
                <w:szCs w:val="20"/>
              </w:rPr>
              <w:t xml:space="preserve">The school must realize technology is a part of everyday life; students should have the opportunity to use personal technology devices during class. </w:t>
            </w:r>
          </w:p>
        </w:tc>
      </w:tr>
      <w:tr w:rsidR="003530FC" w:rsidTr="003530FC">
        <w:trPr>
          <w:jc w:val="center"/>
        </w:trPr>
        <w:tc>
          <w:tcPr>
            <w:tcW w:w="2842" w:type="dxa"/>
          </w:tcPr>
          <w:p w:rsidR="003530FC" w:rsidRPr="003530FC" w:rsidRDefault="003530FC" w:rsidP="003530FC">
            <w:pPr>
              <w:jc w:val="center"/>
              <w:rPr>
                <w:rFonts w:ascii="Arial" w:hAnsi="Arial" w:cs="Arial"/>
                <w:sz w:val="20"/>
                <w:szCs w:val="20"/>
              </w:rPr>
            </w:pPr>
            <w:r w:rsidRPr="003530FC">
              <w:rPr>
                <w:rFonts w:ascii="Arial" w:hAnsi="Arial" w:cs="Arial"/>
                <w:sz w:val="20"/>
                <w:szCs w:val="20"/>
              </w:rPr>
              <w:t>Complete sentence</w:t>
            </w:r>
          </w:p>
        </w:tc>
        <w:tc>
          <w:tcPr>
            <w:tcW w:w="2915" w:type="dxa"/>
          </w:tcPr>
          <w:p w:rsidR="003530FC" w:rsidRPr="003530FC" w:rsidRDefault="003530FC" w:rsidP="003530FC">
            <w:pPr>
              <w:jc w:val="center"/>
              <w:rPr>
                <w:rFonts w:ascii="Arial" w:hAnsi="Arial" w:cs="Arial"/>
                <w:sz w:val="20"/>
                <w:szCs w:val="20"/>
              </w:rPr>
            </w:pPr>
            <w:r w:rsidRPr="003530FC">
              <w:rPr>
                <w:rFonts w:ascii="Arial" w:hAnsi="Arial" w:cs="Arial"/>
                <w:sz w:val="20"/>
                <w:szCs w:val="20"/>
              </w:rPr>
              <w:t>Semicolon-conjunctive adverb-comma</w:t>
            </w:r>
          </w:p>
        </w:tc>
        <w:tc>
          <w:tcPr>
            <w:tcW w:w="2842" w:type="dxa"/>
          </w:tcPr>
          <w:p w:rsidR="003530FC" w:rsidRPr="003530FC" w:rsidRDefault="003530FC" w:rsidP="003530FC">
            <w:pPr>
              <w:jc w:val="center"/>
              <w:rPr>
                <w:rFonts w:ascii="Arial" w:hAnsi="Arial" w:cs="Arial"/>
                <w:sz w:val="20"/>
                <w:szCs w:val="20"/>
              </w:rPr>
            </w:pPr>
            <w:r w:rsidRPr="003530FC">
              <w:rPr>
                <w:rFonts w:ascii="Arial" w:hAnsi="Arial" w:cs="Arial"/>
                <w:sz w:val="20"/>
                <w:szCs w:val="20"/>
              </w:rPr>
              <w:t>Complete sentence</w:t>
            </w:r>
          </w:p>
        </w:tc>
        <w:tc>
          <w:tcPr>
            <w:tcW w:w="2417" w:type="dxa"/>
          </w:tcPr>
          <w:p w:rsidR="003530FC" w:rsidRPr="003530FC" w:rsidRDefault="003530FC" w:rsidP="003530FC">
            <w:pPr>
              <w:jc w:val="center"/>
              <w:rPr>
                <w:rFonts w:ascii="Arial" w:hAnsi="Arial" w:cs="Arial"/>
                <w:sz w:val="20"/>
                <w:szCs w:val="20"/>
              </w:rPr>
            </w:pPr>
            <w:r w:rsidRPr="003530FC">
              <w:rPr>
                <w:rFonts w:ascii="Arial" w:hAnsi="Arial" w:cs="Arial"/>
                <w:sz w:val="20"/>
                <w:szCs w:val="20"/>
              </w:rPr>
              <w:t xml:space="preserve">Field trips provide strong learning experiences outside the classroom; moreover, </w:t>
            </w:r>
            <w:r>
              <w:rPr>
                <w:rFonts w:ascii="Arial" w:hAnsi="Arial" w:cs="Arial"/>
                <w:sz w:val="20"/>
                <w:szCs w:val="20"/>
              </w:rPr>
              <w:t xml:space="preserve">many students now perceive the real-world application of concepts. </w:t>
            </w:r>
          </w:p>
        </w:tc>
      </w:tr>
      <w:tr w:rsidR="003530FC" w:rsidTr="003530FC">
        <w:trPr>
          <w:jc w:val="center"/>
        </w:trPr>
        <w:tc>
          <w:tcPr>
            <w:tcW w:w="2842" w:type="dxa"/>
          </w:tcPr>
          <w:p w:rsidR="003530FC" w:rsidRPr="003530FC" w:rsidRDefault="003530FC" w:rsidP="003530FC">
            <w:pPr>
              <w:jc w:val="center"/>
              <w:rPr>
                <w:rFonts w:ascii="Arial" w:hAnsi="Arial" w:cs="Arial"/>
                <w:sz w:val="20"/>
                <w:szCs w:val="20"/>
              </w:rPr>
            </w:pPr>
            <w:r>
              <w:rPr>
                <w:rFonts w:ascii="Arial" w:hAnsi="Arial" w:cs="Arial"/>
                <w:sz w:val="20"/>
                <w:szCs w:val="20"/>
              </w:rPr>
              <w:t>First part of correlative conjunction-complete sentence</w:t>
            </w:r>
          </w:p>
        </w:tc>
        <w:tc>
          <w:tcPr>
            <w:tcW w:w="2915" w:type="dxa"/>
          </w:tcPr>
          <w:p w:rsidR="003530FC" w:rsidRPr="003530FC" w:rsidRDefault="003530FC" w:rsidP="003530FC">
            <w:pPr>
              <w:jc w:val="center"/>
              <w:rPr>
                <w:rFonts w:ascii="Arial" w:hAnsi="Arial" w:cs="Arial"/>
                <w:sz w:val="20"/>
                <w:szCs w:val="20"/>
              </w:rPr>
            </w:pPr>
            <w:r>
              <w:rPr>
                <w:rFonts w:ascii="Arial" w:hAnsi="Arial" w:cs="Arial"/>
                <w:sz w:val="20"/>
                <w:szCs w:val="20"/>
              </w:rPr>
              <w:t>Comma</w:t>
            </w:r>
          </w:p>
        </w:tc>
        <w:tc>
          <w:tcPr>
            <w:tcW w:w="2842" w:type="dxa"/>
          </w:tcPr>
          <w:p w:rsidR="003530FC" w:rsidRPr="003530FC" w:rsidRDefault="003530FC" w:rsidP="003530FC">
            <w:pPr>
              <w:jc w:val="center"/>
              <w:rPr>
                <w:rFonts w:ascii="Arial" w:hAnsi="Arial" w:cs="Arial"/>
                <w:sz w:val="20"/>
                <w:szCs w:val="20"/>
              </w:rPr>
            </w:pPr>
            <w:r>
              <w:rPr>
                <w:rFonts w:ascii="Arial" w:hAnsi="Arial" w:cs="Arial"/>
                <w:sz w:val="20"/>
                <w:szCs w:val="20"/>
              </w:rPr>
              <w:t>Second part of correlative conjunction-complete sentence</w:t>
            </w:r>
          </w:p>
        </w:tc>
        <w:tc>
          <w:tcPr>
            <w:tcW w:w="2417" w:type="dxa"/>
          </w:tcPr>
          <w:p w:rsidR="003530FC" w:rsidRPr="003530FC" w:rsidRDefault="002240FB" w:rsidP="003530FC">
            <w:pPr>
              <w:jc w:val="center"/>
              <w:rPr>
                <w:rFonts w:ascii="Arial" w:hAnsi="Arial" w:cs="Arial"/>
                <w:sz w:val="20"/>
                <w:szCs w:val="20"/>
              </w:rPr>
            </w:pPr>
            <w:r>
              <w:rPr>
                <w:rFonts w:ascii="Arial" w:hAnsi="Arial" w:cs="Arial"/>
                <w:sz w:val="20"/>
                <w:szCs w:val="20"/>
              </w:rPr>
              <w:t>Not only does fast food contain a vast amount of unnecessary calories, but it also contains numerous toxins for the human body.</w:t>
            </w:r>
          </w:p>
        </w:tc>
      </w:tr>
      <w:tr w:rsidR="003530FC" w:rsidTr="003530FC">
        <w:trPr>
          <w:jc w:val="center"/>
        </w:trPr>
        <w:tc>
          <w:tcPr>
            <w:tcW w:w="2842" w:type="dxa"/>
          </w:tcPr>
          <w:p w:rsidR="003530FC" w:rsidRPr="003530FC" w:rsidRDefault="002240FB" w:rsidP="003530FC">
            <w:pPr>
              <w:jc w:val="center"/>
              <w:rPr>
                <w:rFonts w:ascii="Arial" w:hAnsi="Arial" w:cs="Arial"/>
                <w:sz w:val="20"/>
                <w:szCs w:val="20"/>
              </w:rPr>
            </w:pPr>
            <w:r>
              <w:rPr>
                <w:rFonts w:ascii="Arial" w:hAnsi="Arial" w:cs="Arial"/>
                <w:sz w:val="20"/>
                <w:szCs w:val="20"/>
              </w:rPr>
              <w:t>Adverb clause</w:t>
            </w:r>
          </w:p>
        </w:tc>
        <w:tc>
          <w:tcPr>
            <w:tcW w:w="2915" w:type="dxa"/>
          </w:tcPr>
          <w:p w:rsidR="003530FC" w:rsidRPr="003530FC" w:rsidRDefault="002240FB" w:rsidP="003530FC">
            <w:pPr>
              <w:jc w:val="center"/>
              <w:rPr>
                <w:rFonts w:ascii="Arial" w:hAnsi="Arial" w:cs="Arial"/>
                <w:sz w:val="20"/>
                <w:szCs w:val="20"/>
              </w:rPr>
            </w:pPr>
            <w:r>
              <w:rPr>
                <w:rFonts w:ascii="Arial" w:hAnsi="Arial" w:cs="Arial"/>
                <w:sz w:val="20"/>
                <w:szCs w:val="20"/>
              </w:rPr>
              <w:t>Comma</w:t>
            </w:r>
          </w:p>
        </w:tc>
        <w:tc>
          <w:tcPr>
            <w:tcW w:w="2842" w:type="dxa"/>
          </w:tcPr>
          <w:p w:rsidR="003530FC" w:rsidRPr="003530FC" w:rsidRDefault="002240FB" w:rsidP="003530FC">
            <w:pPr>
              <w:jc w:val="center"/>
              <w:rPr>
                <w:rFonts w:ascii="Arial" w:hAnsi="Arial" w:cs="Arial"/>
                <w:sz w:val="20"/>
                <w:szCs w:val="20"/>
              </w:rPr>
            </w:pPr>
            <w:r>
              <w:rPr>
                <w:rFonts w:ascii="Arial" w:hAnsi="Arial" w:cs="Arial"/>
                <w:sz w:val="20"/>
                <w:szCs w:val="20"/>
              </w:rPr>
              <w:t>Complete sentence</w:t>
            </w:r>
          </w:p>
        </w:tc>
        <w:tc>
          <w:tcPr>
            <w:tcW w:w="2417" w:type="dxa"/>
          </w:tcPr>
          <w:p w:rsidR="003530FC" w:rsidRPr="003530FC" w:rsidRDefault="002240FB" w:rsidP="002240FB">
            <w:pPr>
              <w:jc w:val="center"/>
              <w:rPr>
                <w:rFonts w:ascii="Arial" w:hAnsi="Arial" w:cs="Arial"/>
                <w:sz w:val="20"/>
                <w:szCs w:val="20"/>
              </w:rPr>
            </w:pPr>
            <w:r>
              <w:rPr>
                <w:rFonts w:ascii="Arial" w:hAnsi="Arial" w:cs="Arial"/>
                <w:sz w:val="20"/>
                <w:szCs w:val="20"/>
              </w:rPr>
              <w:t xml:space="preserve">Even though the concepts of dreams and actions are somewhat similar, the primary difference is that dreams often do not become reality. </w:t>
            </w:r>
          </w:p>
        </w:tc>
      </w:tr>
      <w:tr w:rsidR="003530FC" w:rsidTr="003530FC">
        <w:trPr>
          <w:jc w:val="center"/>
        </w:trPr>
        <w:tc>
          <w:tcPr>
            <w:tcW w:w="2842" w:type="dxa"/>
          </w:tcPr>
          <w:p w:rsidR="003530FC" w:rsidRPr="003530FC" w:rsidRDefault="002240FB" w:rsidP="003530FC">
            <w:pPr>
              <w:jc w:val="center"/>
              <w:rPr>
                <w:rFonts w:ascii="Arial" w:hAnsi="Arial" w:cs="Arial"/>
                <w:sz w:val="20"/>
                <w:szCs w:val="20"/>
              </w:rPr>
            </w:pPr>
            <w:r>
              <w:rPr>
                <w:rFonts w:ascii="Arial" w:hAnsi="Arial" w:cs="Arial"/>
                <w:sz w:val="20"/>
                <w:szCs w:val="20"/>
              </w:rPr>
              <w:t>Gerund clause</w:t>
            </w:r>
          </w:p>
        </w:tc>
        <w:tc>
          <w:tcPr>
            <w:tcW w:w="2915" w:type="dxa"/>
          </w:tcPr>
          <w:p w:rsidR="003530FC" w:rsidRPr="003530FC" w:rsidRDefault="002240FB" w:rsidP="003530FC">
            <w:pPr>
              <w:jc w:val="center"/>
              <w:rPr>
                <w:rFonts w:ascii="Arial" w:hAnsi="Arial" w:cs="Arial"/>
                <w:sz w:val="20"/>
                <w:szCs w:val="20"/>
              </w:rPr>
            </w:pPr>
            <w:r>
              <w:rPr>
                <w:rFonts w:ascii="Arial" w:hAnsi="Arial" w:cs="Arial"/>
                <w:sz w:val="20"/>
                <w:szCs w:val="20"/>
              </w:rPr>
              <w:t>Semicolon-conjunctive adverb- comma</w:t>
            </w:r>
          </w:p>
        </w:tc>
        <w:tc>
          <w:tcPr>
            <w:tcW w:w="2842" w:type="dxa"/>
          </w:tcPr>
          <w:p w:rsidR="003530FC" w:rsidRPr="003530FC" w:rsidRDefault="002240FB" w:rsidP="003530FC">
            <w:pPr>
              <w:jc w:val="center"/>
              <w:rPr>
                <w:rFonts w:ascii="Arial" w:hAnsi="Arial" w:cs="Arial"/>
                <w:sz w:val="20"/>
                <w:szCs w:val="20"/>
              </w:rPr>
            </w:pPr>
            <w:r>
              <w:rPr>
                <w:rFonts w:ascii="Arial" w:hAnsi="Arial" w:cs="Arial"/>
                <w:sz w:val="20"/>
                <w:szCs w:val="20"/>
              </w:rPr>
              <w:t>Complete sentence</w:t>
            </w:r>
          </w:p>
        </w:tc>
        <w:tc>
          <w:tcPr>
            <w:tcW w:w="2417" w:type="dxa"/>
          </w:tcPr>
          <w:p w:rsidR="003530FC" w:rsidRPr="003530FC" w:rsidRDefault="002240FB" w:rsidP="002240FB">
            <w:pPr>
              <w:jc w:val="center"/>
              <w:rPr>
                <w:rFonts w:ascii="Arial" w:hAnsi="Arial" w:cs="Arial"/>
                <w:sz w:val="20"/>
                <w:szCs w:val="20"/>
              </w:rPr>
            </w:pPr>
            <w:r>
              <w:rPr>
                <w:rFonts w:ascii="Arial" w:hAnsi="Arial" w:cs="Arial"/>
                <w:sz w:val="20"/>
                <w:szCs w:val="20"/>
              </w:rPr>
              <w:t xml:space="preserve">Working alone is much </w:t>
            </w:r>
            <w:r>
              <w:rPr>
                <w:rFonts w:ascii="Arial" w:hAnsi="Arial" w:cs="Arial"/>
                <w:sz w:val="20"/>
                <w:szCs w:val="20"/>
              </w:rPr>
              <w:t>obvious</w:t>
            </w:r>
            <w:r>
              <w:rPr>
                <w:rFonts w:ascii="Arial" w:hAnsi="Arial" w:cs="Arial"/>
                <w:sz w:val="20"/>
                <w:szCs w:val="20"/>
              </w:rPr>
              <w:t>ly easier for most people; however, global society demands people work collaboratively.</w:t>
            </w:r>
          </w:p>
        </w:tc>
      </w:tr>
      <w:tr w:rsidR="003530FC" w:rsidTr="003530FC">
        <w:trPr>
          <w:jc w:val="center"/>
        </w:trPr>
        <w:tc>
          <w:tcPr>
            <w:tcW w:w="2842" w:type="dxa"/>
          </w:tcPr>
          <w:p w:rsidR="003530FC" w:rsidRPr="003530FC" w:rsidRDefault="00F23ADE" w:rsidP="00F23ADE">
            <w:pPr>
              <w:jc w:val="center"/>
              <w:rPr>
                <w:rFonts w:ascii="Arial" w:hAnsi="Arial" w:cs="Arial"/>
                <w:sz w:val="20"/>
                <w:szCs w:val="20"/>
              </w:rPr>
            </w:pPr>
            <w:r>
              <w:rPr>
                <w:rFonts w:ascii="Arial" w:hAnsi="Arial" w:cs="Arial"/>
                <w:sz w:val="20"/>
                <w:szCs w:val="20"/>
              </w:rPr>
              <w:t>Subject of the sentence</w:t>
            </w:r>
          </w:p>
        </w:tc>
        <w:tc>
          <w:tcPr>
            <w:tcW w:w="2915" w:type="dxa"/>
          </w:tcPr>
          <w:p w:rsidR="003530FC" w:rsidRPr="003530FC" w:rsidRDefault="00F23ADE" w:rsidP="003530FC">
            <w:pPr>
              <w:jc w:val="center"/>
              <w:rPr>
                <w:rFonts w:ascii="Arial" w:hAnsi="Arial" w:cs="Arial"/>
                <w:sz w:val="20"/>
                <w:szCs w:val="20"/>
              </w:rPr>
            </w:pPr>
            <w:r>
              <w:rPr>
                <w:rFonts w:ascii="Arial" w:hAnsi="Arial" w:cs="Arial"/>
                <w:sz w:val="20"/>
                <w:szCs w:val="20"/>
              </w:rPr>
              <w:t>Adjective clause</w:t>
            </w:r>
          </w:p>
        </w:tc>
        <w:tc>
          <w:tcPr>
            <w:tcW w:w="2842" w:type="dxa"/>
          </w:tcPr>
          <w:p w:rsidR="003530FC" w:rsidRPr="003530FC" w:rsidRDefault="00F23ADE" w:rsidP="003530FC">
            <w:pPr>
              <w:jc w:val="center"/>
              <w:rPr>
                <w:rFonts w:ascii="Arial" w:hAnsi="Arial" w:cs="Arial"/>
                <w:sz w:val="20"/>
                <w:szCs w:val="20"/>
              </w:rPr>
            </w:pPr>
            <w:r>
              <w:rPr>
                <w:rFonts w:ascii="Arial" w:hAnsi="Arial" w:cs="Arial"/>
                <w:sz w:val="20"/>
                <w:szCs w:val="20"/>
              </w:rPr>
              <w:t>Predicate of the sentence</w:t>
            </w:r>
          </w:p>
        </w:tc>
        <w:tc>
          <w:tcPr>
            <w:tcW w:w="2417" w:type="dxa"/>
          </w:tcPr>
          <w:p w:rsidR="003530FC" w:rsidRPr="003530FC" w:rsidRDefault="00F23ADE" w:rsidP="003530FC">
            <w:pPr>
              <w:jc w:val="center"/>
              <w:rPr>
                <w:rFonts w:ascii="Arial" w:hAnsi="Arial" w:cs="Arial"/>
                <w:sz w:val="20"/>
                <w:szCs w:val="20"/>
              </w:rPr>
            </w:pPr>
            <w:r>
              <w:rPr>
                <w:rFonts w:ascii="Arial" w:hAnsi="Arial" w:cs="Arial"/>
                <w:sz w:val="20"/>
                <w:szCs w:val="20"/>
              </w:rPr>
              <w:t xml:space="preserve">The use of </w:t>
            </w:r>
            <w:r w:rsidR="00DE0879">
              <w:rPr>
                <w:rFonts w:ascii="Arial" w:hAnsi="Arial" w:cs="Arial"/>
                <w:sz w:val="20"/>
                <w:szCs w:val="20"/>
              </w:rPr>
              <w:t xml:space="preserve">personal </w:t>
            </w:r>
            <w:r>
              <w:rPr>
                <w:rFonts w:ascii="Arial" w:hAnsi="Arial" w:cs="Arial"/>
                <w:sz w:val="20"/>
                <w:szCs w:val="20"/>
              </w:rPr>
              <w:t xml:space="preserve">technology, which is growing </w:t>
            </w:r>
            <w:r w:rsidR="00DE0879">
              <w:rPr>
                <w:rFonts w:ascii="Arial" w:hAnsi="Arial" w:cs="Arial"/>
                <w:sz w:val="20"/>
                <w:szCs w:val="20"/>
              </w:rPr>
              <w:t xml:space="preserve">in all facets of life except education due to unreasonable district policies, must be a daily part of the classroom to create individual learning opportunities. </w:t>
            </w:r>
          </w:p>
        </w:tc>
      </w:tr>
    </w:tbl>
    <w:p w:rsidR="005F259D" w:rsidRDefault="005F259D" w:rsidP="005F259D">
      <w:pPr>
        <w:spacing w:after="0"/>
        <w:rPr>
          <w:rFonts w:ascii="Arial" w:hAnsi="Arial" w:cs="Arial"/>
          <w:sz w:val="24"/>
          <w:szCs w:val="24"/>
        </w:rPr>
      </w:pPr>
    </w:p>
    <w:p w:rsidR="00BE66B4" w:rsidRDefault="00BE66B4" w:rsidP="005F259D">
      <w:pPr>
        <w:spacing w:after="0"/>
        <w:rPr>
          <w:rFonts w:ascii="Arial" w:hAnsi="Arial" w:cs="Arial"/>
          <w:sz w:val="24"/>
          <w:szCs w:val="24"/>
        </w:rPr>
      </w:pPr>
    </w:p>
    <w:p w:rsidR="00BE66B4" w:rsidRDefault="00BE66B4" w:rsidP="005F259D">
      <w:pPr>
        <w:spacing w:after="0"/>
        <w:rPr>
          <w:rFonts w:ascii="Arial" w:hAnsi="Arial" w:cs="Arial"/>
          <w:sz w:val="24"/>
          <w:szCs w:val="24"/>
        </w:rPr>
      </w:pPr>
    </w:p>
    <w:p w:rsidR="00BE66B4" w:rsidRDefault="00BE66B4" w:rsidP="005F259D">
      <w:pPr>
        <w:spacing w:after="0"/>
        <w:rPr>
          <w:rFonts w:ascii="Arial" w:hAnsi="Arial" w:cs="Arial"/>
          <w:sz w:val="24"/>
          <w:szCs w:val="24"/>
        </w:rPr>
      </w:pPr>
    </w:p>
    <w:p w:rsidR="00BE66B4" w:rsidRDefault="00BE66B4" w:rsidP="005F259D">
      <w:pPr>
        <w:spacing w:after="0"/>
        <w:rPr>
          <w:rFonts w:ascii="Arial" w:hAnsi="Arial" w:cs="Arial"/>
          <w:sz w:val="24"/>
          <w:szCs w:val="24"/>
        </w:rPr>
      </w:pPr>
    </w:p>
    <w:p w:rsidR="00BE66B4" w:rsidRDefault="00BE66B4" w:rsidP="005F259D">
      <w:pPr>
        <w:spacing w:after="0"/>
        <w:rPr>
          <w:rFonts w:ascii="Arial" w:hAnsi="Arial" w:cs="Arial"/>
          <w:sz w:val="24"/>
          <w:szCs w:val="24"/>
        </w:rPr>
      </w:pPr>
      <w:r>
        <w:rPr>
          <w:rFonts w:ascii="Arial" w:hAnsi="Arial" w:cs="Arial"/>
          <w:sz w:val="24"/>
          <w:szCs w:val="24"/>
        </w:rPr>
        <w:t>Body Paragraphs Example #1:</w:t>
      </w:r>
    </w:p>
    <w:p w:rsidR="00BE66B4" w:rsidRDefault="00BE66B4" w:rsidP="005F259D">
      <w:pPr>
        <w:spacing w:after="0"/>
        <w:rPr>
          <w:rFonts w:ascii="Arial" w:hAnsi="Arial" w:cs="Arial"/>
          <w:sz w:val="24"/>
          <w:szCs w:val="24"/>
        </w:rPr>
      </w:pPr>
    </w:p>
    <w:p w:rsidR="004A1302" w:rsidRDefault="00BE66B4" w:rsidP="005F259D">
      <w:pPr>
        <w:spacing w:after="0"/>
        <w:rPr>
          <w:rFonts w:ascii="Arial" w:hAnsi="Arial" w:cs="Arial"/>
          <w:sz w:val="24"/>
          <w:szCs w:val="24"/>
        </w:rPr>
      </w:pPr>
      <w:r>
        <w:rPr>
          <w:rFonts w:ascii="Arial" w:hAnsi="Arial" w:cs="Arial"/>
          <w:sz w:val="24"/>
          <w:szCs w:val="24"/>
        </w:rPr>
        <w:tab/>
        <w:t xml:space="preserve">When working collaboratively, people bring their strengths to the group to create success. Each person involved has unique talents and gifts that will be invaluable to the completion of the task at hand. For example, during FPS completion, the team of four students has openly identified his or her weaknesses or strengths in order to better work as a team in problem-solving activities. One student has an exceptional talent when it comes to </w:t>
      </w:r>
      <w:r w:rsidR="004A1302">
        <w:rPr>
          <w:rFonts w:ascii="Arial" w:hAnsi="Arial" w:cs="Arial"/>
          <w:sz w:val="24"/>
          <w:szCs w:val="24"/>
        </w:rPr>
        <w:t xml:space="preserve">the arts, psychology, and ethics while another student is highly gifted at technology, communications, and law. They will be able to divide and conquer during competition, making the team a stronger competitor. After all, the true purpose of people working together is to create a stronger unit. (Clincher/transition </w:t>
      </w:r>
      <w:r w:rsidR="00177900">
        <w:rPr>
          <w:rFonts w:ascii="Arial" w:hAnsi="Arial" w:cs="Arial"/>
          <w:sz w:val="24"/>
          <w:szCs w:val="24"/>
        </w:rPr>
        <w:t xml:space="preserve">to the next paragraph </w:t>
      </w:r>
      <w:r w:rsidR="004A1302">
        <w:rPr>
          <w:rFonts w:ascii="Arial" w:hAnsi="Arial" w:cs="Arial"/>
          <w:sz w:val="24"/>
          <w:szCs w:val="24"/>
        </w:rPr>
        <w:t>here)</w:t>
      </w:r>
    </w:p>
    <w:p w:rsidR="00BE66B4" w:rsidRPr="005F259D" w:rsidRDefault="004A1302" w:rsidP="005F259D">
      <w:pPr>
        <w:spacing w:after="0"/>
        <w:rPr>
          <w:rFonts w:ascii="Arial" w:hAnsi="Arial" w:cs="Arial"/>
          <w:sz w:val="24"/>
          <w:szCs w:val="24"/>
        </w:rPr>
      </w:pPr>
      <w:r>
        <w:rPr>
          <w:rFonts w:ascii="Arial" w:hAnsi="Arial" w:cs="Arial"/>
          <w:sz w:val="24"/>
          <w:szCs w:val="24"/>
        </w:rPr>
        <w:tab/>
        <w:t xml:space="preserve">Building clear communication is another advantage to cooperative work among colleagues. Clear communication is one of the most important aspects team work whether playing sports, completing a project, writing a score of music, designing newscast. Members of a cooperative group must openly speak with one another to facilitate ideas, to expose problems, to create solutions, and to, ultimately, find success. </w:t>
      </w:r>
      <w:r w:rsidR="00984DFE">
        <w:rPr>
          <w:rFonts w:ascii="Arial" w:hAnsi="Arial" w:cs="Arial"/>
          <w:sz w:val="24"/>
          <w:szCs w:val="24"/>
        </w:rPr>
        <w:t xml:space="preserve">To further illustrate this point, the eighth grade Gifted and Talented class has been asked to create a commercial for the Follett Challenge; the entire class of fifteen students wants to participate in all aspects of the video. However, the students fail to clearly communication ideas or to be strong listeners during the initial brainstorming process. The teachers, seeing the inability to communicate collaboratively, has the class choose four students as representatives for the video. These students listen to the ideas of their assigned portion and bring those ideas together for the creation of the video. Obviously, communication is </w:t>
      </w:r>
      <w:r w:rsidR="00177900">
        <w:rPr>
          <w:rFonts w:ascii="Arial" w:hAnsi="Arial" w:cs="Arial"/>
          <w:sz w:val="24"/>
          <w:szCs w:val="24"/>
        </w:rPr>
        <w:t>essential</w:t>
      </w:r>
      <w:r w:rsidR="00984DFE">
        <w:rPr>
          <w:rFonts w:ascii="Arial" w:hAnsi="Arial" w:cs="Arial"/>
          <w:sz w:val="24"/>
          <w:szCs w:val="24"/>
        </w:rPr>
        <w:t xml:space="preserve"> when </w:t>
      </w:r>
      <w:r w:rsidR="00177900">
        <w:rPr>
          <w:rFonts w:ascii="Arial" w:hAnsi="Arial" w:cs="Arial"/>
          <w:sz w:val="24"/>
          <w:szCs w:val="24"/>
        </w:rPr>
        <w:t>trying to large and small groups to work together for a single goal. (Clincher/transition to conclusion here)</w:t>
      </w:r>
    </w:p>
    <w:sectPr w:rsidR="00BE66B4" w:rsidRPr="005F259D" w:rsidSect="00354604">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3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858" w:rsidRDefault="008F7858" w:rsidP="00354604">
      <w:pPr>
        <w:spacing w:after="0" w:line="240" w:lineRule="auto"/>
      </w:pPr>
      <w:r>
        <w:separator/>
      </w:r>
    </w:p>
  </w:endnote>
  <w:endnote w:type="continuationSeparator" w:id="0">
    <w:p w:rsidR="008F7858" w:rsidRDefault="008F7858" w:rsidP="00354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604" w:rsidRDefault="003546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604" w:rsidRPr="00354604" w:rsidRDefault="00354604">
    <w:pPr>
      <w:pStyle w:val="Footer"/>
      <w:rPr>
        <w:rFonts w:ascii="Arial" w:hAnsi="Arial" w:cs="Arial"/>
        <w:sz w:val="16"/>
        <w:szCs w:val="16"/>
      </w:rPr>
    </w:pPr>
    <w:r w:rsidRPr="00354604">
      <w:rPr>
        <w:rFonts w:ascii="Arial" w:hAnsi="Arial" w:cs="Arial"/>
        <w:sz w:val="16"/>
        <w:szCs w:val="16"/>
      </w:rPr>
      <w:t>Kristina Janeway</w:t>
    </w:r>
  </w:p>
  <w:p w:rsidR="00354604" w:rsidRPr="00354604" w:rsidRDefault="00354604">
    <w:pPr>
      <w:pStyle w:val="Footer"/>
      <w:rPr>
        <w:rFonts w:ascii="Arial" w:hAnsi="Arial" w:cs="Arial"/>
        <w:sz w:val="16"/>
        <w:szCs w:val="16"/>
      </w:rPr>
    </w:pPr>
    <w:r w:rsidRPr="00354604">
      <w:rPr>
        <w:rFonts w:ascii="Arial" w:hAnsi="Arial" w:cs="Arial"/>
        <w:sz w:val="16"/>
        <w:szCs w:val="16"/>
      </w:rPr>
      <w:t>Terra Vista Middle School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604" w:rsidRDefault="003546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858" w:rsidRDefault="008F7858" w:rsidP="00354604">
      <w:pPr>
        <w:spacing w:after="0" w:line="240" w:lineRule="auto"/>
      </w:pPr>
      <w:r>
        <w:separator/>
      </w:r>
    </w:p>
  </w:footnote>
  <w:footnote w:type="continuationSeparator" w:id="0">
    <w:p w:rsidR="008F7858" w:rsidRDefault="008F7858" w:rsidP="00354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604" w:rsidRDefault="003546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604" w:rsidRDefault="00354604">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604" w:rsidRDefault="003546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59D"/>
    <w:rsid w:val="00065502"/>
    <w:rsid w:val="00177900"/>
    <w:rsid w:val="002240FB"/>
    <w:rsid w:val="003530FC"/>
    <w:rsid w:val="00354604"/>
    <w:rsid w:val="00375107"/>
    <w:rsid w:val="004A1302"/>
    <w:rsid w:val="005F259D"/>
    <w:rsid w:val="008F7858"/>
    <w:rsid w:val="00984DFE"/>
    <w:rsid w:val="00BE66B4"/>
    <w:rsid w:val="00DE0879"/>
    <w:rsid w:val="00F2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2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546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604"/>
  </w:style>
  <w:style w:type="paragraph" w:styleId="Footer">
    <w:name w:val="footer"/>
    <w:basedOn w:val="Normal"/>
    <w:link w:val="FooterChar"/>
    <w:uiPriority w:val="99"/>
    <w:unhideWhenUsed/>
    <w:rsid w:val="003546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604"/>
  </w:style>
  <w:style w:type="paragraph" w:styleId="BalloonText">
    <w:name w:val="Balloon Text"/>
    <w:basedOn w:val="Normal"/>
    <w:link w:val="BalloonTextChar"/>
    <w:uiPriority w:val="99"/>
    <w:semiHidden/>
    <w:unhideWhenUsed/>
    <w:rsid w:val="003546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6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2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546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604"/>
  </w:style>
  <w:style w:type="paragraph" w:styleId="Footer">
    <w:name w:val="footer"/>
    <w:basedOn w:val="Normal"/>
    <w:link w:val="FooterChar"/>
    <w:uiPriority w:val="99"/>
    <w:unhideWhenUsed/>
    <w:rsid w:val="003546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604"/>
  </w:style>
  <w:style w:type="paragraph" w:styleId="BalloonText">
    <w:name w:val="Balloon Text"/>
    <w:basedOn w:val="Normal"/>
    <w:link w:val="BalloonTextChar"/>
    <w:uiPriority w:val="99"/>
    <w:semiHidden/>
    <w:unhideWhenUsed/>
    <w:rsid w:val="003546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6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Eddie</dc:creator>
  <cp:lastModifiedBy>Eddie</cp:lastModifiedBy>
  <cp:revision>7</cp:revision>
  <cp:lastPrinted>2013-03-17T18:37:00Z</cp:lastPrinted>
  <dcterms:created xsi:type="dcterms:W3CDTF">2013-03-17T17:43:00Z</dcterms:created>
  <dcterms:modified xsi:type="dcterms:W3CDTF">2013-03-17T19:00:00Z</dcterms:modified>
</cp:coreProperties>
</file>